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附件1：烟台经济技术开发区广播电视中心2023年度招聘岗位表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32"/>
        <w:gridCol w:w="2208"/>
        <w:gridCol w:w="652"/>
        <w:gridCol w:w="1506"/>
        <w:gridCol w:w="1123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7"/>
            <w:vAlign w:val="center"/>
          </w:tcPr>
          <w:p>
            <w:pPr>
              <w:tabs>
                <w:tab w:val="left" w:pos="3209"/>
              </w:tabs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  <w:t>烟台经济技术开发区广播电视中心2023年度招聘岗位需求表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岗位序号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招聘岗位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岗位描述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招聘数量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专业要求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学历要求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2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2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策划编辑</w:t>
            </w:r>
          </w:p>
        </w:tc>
        <w:tc>
          <w:tcPr>
            <w:tcW w:w="22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具有较强的文案策划能力，适应融媒体时代发展需求，能承担重大新闻活动快速文案策划，具备短视频作品的创意、拍摄、制作能力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新闻学、传播学、广告与公共关系学、汉语言文学、中文、播音与主持艺术、历史等相关专业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本科（含）以上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2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融媒体采编人员</w:t>
            </w:r>
          </w:p>
        </w:tc>
        <w:tc>
          <w:tcPr>
            <w:tcW w:w="220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新闻写作功底扎实，能熟练操作各种新闻采编设备，具备独立完成融媒体作品采编、制作能力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新闻学、广播电视编导、传播学、广告与公共关系学、播音与主持艺术等相关专业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本科（含）以上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有相关工作经验者优先</w:t>
            </w:r>
          </w:p>
        </w:tc>
      </w:tr>
    </w:tbl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GIzYzI5NWFlNDhlNTE5YzJjZWE5MmM2OTFiZTcifQ=="/>
  </w:docVars>
  <w:rsids>
    <w:rsidRoot w:val="00000000"/>
    <w:rsid w:val="0A4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2023-09-21T07:26:07Z</dcterms:created>
  <dc:creator>erafon</dc:creator>
  <cp:lastModifiedBy>崔景友</cp:lastModifiedBy>
  <dcterms:modified xsi:type="dcterms:W3CDTF">2023-09-21T07:27:11Z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7D6CF9A223AB43D5B7FB4EF0C577B620_12</vt:lpwstr>
  </property>
</Properties>
</file>