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/>
        <w:ind w:left="3049" w:right="3051"/>
        <w:jc w:val="center"/>
        <w:rPr>
          <w:rFonts w:ascii="Times New Roman" w:hAnsi="Times New Roman"/>
          <w:sz w:val="52"/>
        </w:rPr>
      </w:pPr>
      <w:bookmarkStart w:id="0" w:name="_GoBack"/>
      <w:r>
        <w:rPr>
          <w:rFonts w:ascii="Times New Roman" w:hAnsi="Times New Roman"/>
          <w:sz w:val="52"/>
        </w:rPr>
        <w:t>通用入驻企业要求和附加扶持政策（2022）</w:t>
      </w:r>
      <w:bookmarkEnd w:id="0"/>
    </w:p>
    <w:p>
      <w:pPr>
        <w:pStyle w:val="2"/>
        <w:spacing w:before="7"/>
        <w:rPr>
          <w:rFonts w:ascii="Times New Roman" w:hAnsi="Times New Roman"/>
          <w:sz w:val="18"/>
          <w:lang w:eastAsia="zh-CN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2"/>
        <w:gridCol w:w="7675"/>
        <w:gridCol w:w="4376"/>
        <w:gridCol w:w="5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972" w:type="dxa"/>
          </w:tcPr>
          <w:p>
            <w:pPr>
              <w:pStyle w:val="5"/>
              <w:spacing w:before="4"/>
              <w:ind w:left="1226" w:right="12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类别</w:t>
            </w:r>
          </w:p>
        </w:tc>
        <w:tc>
          <w:tcPr>
            <w:tcW w:w="7675" w:type="dxa"/>
          </w:tcPr>
          <w:p>
            <w:pPr>
              <w:pStyle w:val="5"/>
              <w:spacing w:before="4"/>
              <w:ind w:left="1904" w:right="189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生产型（有实体有品种，含委托加工）</w:t>
            </w:r>
          </w:p>
        </w:tc>
        <w:tc>
          <w:tcPr>
            <w:tcW w:w="4376" w:type="dxa"/>
          </w:tcPr>
          <w:p>
            <w:pPr>
              <w:pStyle w:val="5"/>
              <w:spacing w:before="2" w:line="310" w:lineRule="atLeast"/>
              <w:ind w:left="1362" w:right="114" w:hanging="123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服务型（有实体无品种，含研发、代</w:t>
            </w:r>
            <w:r>
              <w:rPr>
                <w:rFonts w:ascii="Times New Roman" w:hAnsi="Times New Roman" w:cs="Times New Roman"/>
                <w:b/>
                <w:sz w:val="24"/>
              </w:rPr>
              <w:t>工、CXO 等）</w:t>
            </w:r>
          </w:p>
        </w:tc>
        <w:tc>
          <w:tcPr>
            <w:tcW w:w="5958" w:type="dxa"/>
          </w:tcPr>
          <w:p>
            <w:pPr>
              <w:pStyle w:val="5"/>
              <w:spacing w:before="4"/>
              <w:ind w:left="165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销售型（无实体纯开票）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2972" w:type="dxa"/>
          </w:tcPr>
          <w:p>
            <w:pPr>
              <w:pStyle w:val="5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入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驻</w:t>
            </w:r>
            <w:r>
              <w:rPr>
                <w:rFonts w:ascii="Times New Roman" w:hAnsi="Times New Roman" w:cs="Times New Roman"/>
                <w:b/>
                <w:sz w:val="24"/>
              </w:rPr>
              <w:t>要求</w:t>
            </w:r>
          </w:p>
          <w:p>
            <w:pPr>
              <w:pStyle w:val="5"/>
              <w:spacing w:before="4" w:line="242" w:lineRule="auto"/>
              <w:ind w:left="110"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（必须符合产业政策和产业规划方向，大健康类优先）</w:t>
            </w:r>
          </w:p>
        </w:tc>
        <w:tc>
          <w:tcPr>
            <w:tcW w:w="7675" w:type="dxa"/>
          </w:tcPr>
          <w:p>
            <w:pPr>
              <w:pStyle w:val="5"/>
              <w:spacing w:line="242" w:lineRule="auto"/>
              <w:ind w:right="3503"/>
              <w:rPr>
                <w:rFonts w:ascii="Times New Roman" w:hAnsi="Times New Roman" w:cs="Times New Roman"/>
                <w:spacing w:val="-16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投资强度承诺（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>根据企业实际情况</w:t>
            </w:r>
            <w:r>
              <w:rPr>
                <w:rFonts w:ascii="Times New Roman" w:hAnsi="Times New Roman" w:cs="Times New Roman"/>
                <w:spacing w:val="-16"/>
                <w:sz w:val="24"/>
              </w:rPr>
              <w:t xml:space="preserve">） </w:t>
            </w:r>
          </w:p>
          <w:p>
            <w:pPr>
              <w:pStyle w:val="5"/>
              <w:spacing w:before="3"/>
              <w:rPr>
                <w:rFonts w:ascii="Times New Roman" w:hAnsi="Times New Roman" w:cs="Times New Roman"/>
                <w:spacing w:val="-16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pacing w:val="-16"/>
                <w:sz w:val="24"/>
                <w:lang w:val="en-US"/>
              </w:rPr>
              <w:t>和/或</w:t>
            </w:r>
          </w:p>
          <w:p>
            <w:pPr>
              <w:pStyle w:val="5"/>
              <w:spacing w:before="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税收承诺（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>根据企业实际情况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4376" w:type="dxa"/>
          </w:tcPr>
          <w:p>
            <w:pPr>
              <w:pStyle w:val="5"/>
              <w:spacing w:line="242" w:lineRule="auto"/>
              <w:ind w:right="272"/>
              <w:rPr>
                <w:rFonts w:ascii="Times New Roman" w:hAnsi="Times New Roman" w:cs="Times New Roman"/>
                <w:spacing w:val="-15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研发成果承诺（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>根据企业实际情况</w:t>
            </w:r>
            <w:r>
              <w:rPr>
                <w:rFonts w:ascii="Times New Roman" w:hAnsi="Times New Roman" w:cs="Times New Roman"/>
                <w:spacing w:val="-15"/>
                <w:sz w:val="24"/>
              </w:rPr>
              <w:t>）</w:t>
            </w:r>
          </w:p>
          <w:p>
            <w:pPr>
              <w:pStyle w:val="5"/>
              <w:spacing w:line="242" w:lineRule="auto"/>
              <w:ind w:right="27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或</w:t>
            </w:r>
          </w:p>
          <w:p>
            <w:pPr>
              <w:pStyle w:val="5"/>
              <w:spacing w:before="3"/>
              <w:ind w:right="-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5"/>
                <w:sz w:val="24"/>
              </w:rPr>
              <w:t>税收承诺</w:t>
            </w:r>
            <w:r>
              <w:rPr>
                <w:rFonts w:ascii="Times New Roman" w:hAnsi="Times New Roman" w:cs="Times New Roman"/>
                <w:sz w:val="24"/>
              </w:rPr>
              <w:t>（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>根据企业实际情况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  <w:tc>
          <w:tcPr>
            <w:tcW w:w="5958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税收承诺（</w:t>
            </w:r>
            <w:r>
              <w:rPr>
                <w:rFonts w:ascii="Times New Roman" w:hAnsi="Times New Roman" w:cs="Times New Roman"/>
                <w:spacing w:val="-13"/>
                <w:sz w:val="24"/>
              </w:rPr>
              <w:t>根据企业实际情况</w:t>
            </w:r>
            <w:r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2972" w:type="dxa"/>
          </w:tcPr>
          <w:p>
            <w:pPr>
              <w:pStyle w:val="5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租金补贴</w:t>
            </w:r>
          </w:p>
          <w:p>
            <w:pPr>
              <w:pStyle w:val="5"/>
              <w:spacing w:before="2" w:line="310" w:lineRule="atLeast"/>
              <w:ind w:left="110" w:right="8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9"/>
                <w:sz w:val="24"/>
              </w:rPr>
              <w:t>（</w:t>
            </w:r>
            <w:r>
              <w:rPr>
                <w:rFonts w:ascii="Times New Roman" w:hAnsi="Times New Roman" w:cs="Times New Roman"/>
                <w:spacing w:val="8"/>
                <w:sz w:val="24"/>
              </w:rPr>
              <w:t>按年补贴，对于购买厂</w:t>
            </w:r>
            <w:r>
              <w:rPr>
                <w:rFonts w:ascii="Times New Roman" w:hAnsi="Times New Roman" w:cs="Times New Roman"/>
                <w:spacing w:val="7"/>
                <w:sz w:val="24"/>
              </w:rPr>
              <w:t>房的按500元/平方米</w:t>
            </w:r>
            <w:r>
              <w:rPr>
                <w:rFonts w:ascii="Times New Roman" w:hAnsi="Times New Roman" w:cs="Times New Roman"/>
                <w:spacing w:val="8"/>
                <w:sz w:val="24"/>
              </w:rPr>
              <w:t>在购房时一次性补贴给企业）</w:t>
            </w:r>
          </w:p>
        </w:tc>
        <w:tc>
          <w:tcPr>
            <w:tcW w:w="7675" w:type="dxa"/>
          </w:tcPr>
          <w:p>
            <w:pPr>
              <w:pStyle w:val="5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租赁日起前三年全额补贴，期满后：</w:t>
            </w:r>
          </w:p>
          <w:p>
            <w:pPr>
              <w:pStyle w:val="5"/>
              <w:spacing w:before="4"/>
              <w:rPr>
                <w:rFonts w:ascii="Times New Roman" w:hAnsi="Times New Roman" w:eastAsia="仿宋_GB2312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  <w:lang w:val="en-US"/>
              </w:rPr>
              <w:t>创新类：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  <w:t>年内进临床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  <w:lang w:val="en-US"/>
              </w:rPr>
              <w:t>的再给予最多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年50%补贴；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/>
              </w:rPr>
              <w:t>仿制药高端制剂、特殊配方医学食品、三类医疗器械：3年内进临床的再给予最多3年50%补贴。</w:t>
            </w:r>
          </w:p>
          <w:p>
            <w:pPr>
              <w:pStyle w:val="5"/>
              <w:spacing w:before="4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5"/>
                <w:sz w:val="24"/>
              </w:rPr>
              <w:t xml:space="preserve">注册类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pacing w:val="-13"/>
                <w:sz w:val="24"/>
              </w:rPr>
              <w:t>年内拿证落地投产的再给予</w:t>
            </w:r>
            <w:r>
              <w:rPr>
                <w:rFonts w:ascii="Times New Roman" w:hAnsi="Times New Roman" w:eastAsia="仿宋_GB2312" w:cs="Times New Roman"/>
                <w:color w:val="000000"/>
                <w:spacing w:val="-13"/>
                <w:sz w:val="24"/>
                <w:lang w:val="en-US"/>
              </w:rPr>
              <w:t>最多</w:t>
            </w:r>
            <w:r>
              <w:rPr>
                <w:rFonts w:ascii="Times New Roman" w:hAnsi="Times New Roman" w:eastAsia="仿宋_GB2312" w:cs="Times New Roman"/>
                <w:color w:val="000000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spacing w:val="-13"/>
                <w:sz w:val="24"/>
                <w:lang w:val="en-US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pacing w:val="-43"/>
                <w:sz w:val="24"/>
              </w:rPr>
              <w:t xml:space="preserve"> 年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50%补贴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；</w:t>
            </w:r>
          </w:p>
          <w:p>
            <w:pPr>
              <w:pStyle w:val="5"/>
              <w:spacing w:before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备案类1年内投产并形成销售的，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3年后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再给予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/>
              </w:rPr>
              <w:t>最多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1年50%补贴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4376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租赁日起前三年全额补贴</w:t>
            </w:r>
          </w:p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纳入研发平台的按平台政策执行</w:t>
            </w:r>
          </w:p>
        </w:tc>
        <w:tc>
          <w:tcPr>
            <w:tcW w:w="5958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原则上不提供厂房，纳入销售平台统一管理</w:t>
            </w:r>
          </w:p>
          <w:p>
            <w:pPr>
              <w:pStyle w:val="5"/>
              <w:spacing w:before="4" w:line="242" w:lineRule="auto"/>
              <w:ind w:right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个税类纳入个税平台，总部经济类纳入总部经济平台提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>供办公场地，医疗器械类纳入医疗器械供应链平台提供</w:t>
            </w:r>
            <w:r>
              <w:rPr>
                <w:rFonts w:ascii="Times New Roman" w:hAnsi="Times New Roman" w:cs="Times New Roman"/>
                <w:sz w:val="24"/>
              </w:rPr>
              <w:t>库房办公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972" w:type="dxa"/>
          </w:tcPr>
          <w:p>
            <w:pPr>
              <w:pStyle w:val="5"/>
              <w:ind w:left="110"/>
              <w:rPr>
                <w:rFonts w:ascii="Times New Roman" w:hAnsi="Times New Roman" w:cs="Times New Roman"/>
                <w:b/>
                <w:w w:val="95"/>
                <w:sz w:val="24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</w:rPr>
              <w:t>过渡用房</w:t>
            </w:r>
          </w:p>
          <w:p>
            <w:pPr>
              <w:pStyle w:val="5"/>
              <w:ind w:left="110"/>
              <w:rPr>
                <w:rFonts w:ascii="Times New Roman" w:hAnsi="Times New Roman" w:cs="Times New Roman"/>
                <w:bCs/>
                <w:w w:val="95"/>
                <w:sz w:val="24"/>
              </w:rPr>
            </w:pPr>
            <w:r>
              <w:rPr>
                <w:rFonts w:ascii="Times New Roman" w:hAnsi="Times New Roman" w:cs="Times New Roman"/>
                <w:bCs/>
                <w:w w:val="95"/>
                <w:sz w:val="24"/>
              </w:rPr>
              <w:t>（政府提供或企业先租后补）</w:t>
            </w:r>
          </w:p>
        </w:tc>
        <w:tc>
          <w:tcPr>
            <w:tcW w:w="7675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>过渡办公用房：固定资产投资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>000万元（含）</w:t>
            </w:r>
            <w:r>
              <w:rPr>
                <w:rFonts w:ascii="Times New Roman" w:hAnsi="Times New Roman" w:cs="Times New Roman"/>
                <w:sz w:val="24"/>
              </w:rPr>
              <w:t>以上的：200平米12个月</w:t>
            </w:r>
          </w:p>
          <w:p>
            <w:pPr>
              <w:pStyle w:val="5"/>
              <w:ind w:left="0" w:firstLine="240" w:firstLineChars="10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>固定资产投资500万元（含）至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/>
              </w:rPr>
              <w:t>000万元</w:t>
            </w:r>
            <w:r>
              <w:rPr>
                <w:rFonts w:ascii="Times New Roman" w:hAnsi="Times New Roman" w:cs="Times New Roman"/>
                <w:sz w:val="24"/>
              </w:rPr>
              <w:t>的：100平米6个月</w:t>
            </w:r>
          </w:p>
        </w:tc>
        <w:tc>
          <w:tcPr>
            <w:tcW w:w="4376" w:type="dxa"/>
          </w:tcPr>
          <w:p>
            <w:pPr>
              <w:pStyle w:val="5"/>
              <w:rPr>
                <w:rFonts w:hint="eastAsia"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同生产型</w:t>
            </w:r>
            <w:r>
              <w:rPr>
                <w:rFonts w:hint="eastAsia" w:ascii="Times New Roman" w:hAnsi="Times New Roman" w:cs="Times New Roman"/>
                <w:sz w:val="24"/>
              </w:rPr>
              <w:t>。</w:t>
            </w:r>
          </w:p>
        </w:tc>
        <w:tc>
          <w:tcPr>
            <w:tcW w:w="5958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</w:trPr>
        <w:tc>
          <w:tcPr>
            <w:tcW w:w="2972" w:type="dxa"/>
          </w:tcPr>
          <w:p>
            <w:pPr>
              <w:pStyle w:val="5"/>
              <w:spacing w:line="242" w:lineRule="auto"/>
              <w:ind w:left="110" w:right="101"/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lang w:val="en-US" w:eastAsia="zh-CN"/>
              </w:rPr>
              <w:t>扶持政策</w:t>
            </w:r>
          </w:p>
          <w:p>
            <w:pPr>
              <w:pStyle w:val="5"/>
              <w:spacing w:line="242" w:lineRule="auto"/>
              <w:ind w:left="110" w:right="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（按入库税收的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区级</w:t>
            </w:r>
            <w:r>
              <w:rPr>
                <w:rFonts w:ascii="Times New Roman" w:hAnsi="Times New Roman" w:cs="Times New Roman"/>
                <w:sz w:val="24"/>
              </w:rPr>
              <w:t>留存部分计比，企业所得税和增值税奖励给纳税企业， 个人所得税奖励给纳税主体，）</w:t>
            </w:r>
          </w:p>
        </w:tc>
        <w:tc>
          <w:tcPr>
            <w:tcW w:w="7675" w:type="dxa"/>
          </w:tcPr>
          <w:p>
            <w:pPr>
              <w:pStyle w:val="5"/>
              <w:spacing w:before="4" w:line="244" w:lineRule="auto"/>
              <w:ind w:right="9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4"/>
              </w:rPr>
              <w:t>企业所得税和增值税：生产经营日起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4"/>
                <w:lang w:val="en-US"/>
              </w:rPr>
              <w:t>5年内，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4"/>
              </w:rPr>
              <w:t xml:space="preserve">前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pacing w:val="-23"/>
                <w:sz w:val="24"/>
              </w:rPr>
              <w:t xml:space="preserve"> 年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90%，</w:t>
            </w:r>
            <w:r>
              <w:rPr>
                <w:rFonts w:ascii="Times New Roman" w:hAnsi="Times New Roman" w:eastAsia="仿宋_GB2312" w:cs="Times New Roman"/>
                <w:color w:val="000000"/>
                <w:spacing w:val="-17"/>
                <w:sz w:val="24"/>
              </w:rPr>
              <w:t xml:space="preserve">后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pacing w:val="-23"/>
                <w:sz w:val="24"/>
              </w:rPr>
              <w:t xml:space="preserve"> 年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50%，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世界医药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200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 xml:space="preserve"> 强、国内医药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 xml:space="preserve"> 强，细分领域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pacing w:val="-14"/>
                <w:sz w:val="24"/>
              </w:rPr>
              <w:t xml:space="preserve"> 强的相关企业前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pacing w:val="-39"/>
                <w:sz w:val="24"/>
              </w:rPr>
              <w:t xml:space="preserve"> 年 </w:t>
            </w:r>
            <w:r>
              <w:rPr>
                <w:rFonts w:ascii="Times New Roman" w:hAnsi="Times New Roman" w:eastAsia="仿宋_GB2312" w:cs="Times New Roman"/>
                <w:color w:val="000000"/>
                <w:spacing w:val="-39"/>
                <w:sz w:val="24"/>
                <w:lang w:val="en-US"/>
              </w:rPr>
              <w:t>100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%，</w:t>
            </w:r>
            <w:r>
              <w:rPr>
                <w:rFonts w:ascii="Times New Roman" w:hAnsi="Times New Roman" w:eastAsia="仿宋_GB2312" w:cs="Times New Roman"/>
                <w:color w:val="000000"/>
                <w:spacing w:val="-27"/>
                <w:sz w:val="24"/>
              </w:rPr>
              <w:t xml:space="preserve">后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pacing w:val="-34"/>
                <w:sz w:val="24"/>
              </w:rPr>
              <w:t xml:space="preserve"> 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50%</w:t>
            </w:r>
          </w:p>
          <w:p>
            <w:pPr>
              <w:pStyle w:val="5"/>
              <w:spacing w:before="4" w:line="244" w:lineRule="auto"/>
              <w:ind w:right="9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pStyle w:val="5"/>
              <w:spacing w:line="242" w:lineRule="auto"/>
              <w:ind w:righ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 xml:space="preserve">个人所得税：企业高管不超过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sz w:val="24"/>
              </w:rPr>
              <w:t xml:space="preserve"> 人自营业执照签发之日起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  <w:t xml:space="preserve"> 年内：企业当</w:t>
            </w:r>
            <w:r>
              <w:rPr>
                <w:rFonts w:ascii="Times New Roman" w:hAnsi="Times New Roman" w:eastAsia="仿宋_GB2312" w:cs="Times New Roman"/>
                <w:color w:val="000000"/>
                <w:spacing w:val="-17"/>
                <w:sz w:val="24"/>
              </w:rPr>
              <w:t xml:space="preserve">年纳税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10（含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-100</w:t>
            </w:r>
            <w:r>
              <w:rPr>
                <w:rFonts w:ascii="Times New Roman" w:hAnsi="Times New Roman" w:eastAsia="仿宋_GB2312" w:cs="Times New Roman"/>
                <w:color w:val="000000"/>
                <w:spacing w:val="-27"/>
                <w:sz w:val="24"/>
              </w:rPr>
              <w:t xml:space="preserve"> 万元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（含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pacing w:val="-33"/>
                <w:sz w:val="24"/>
              </w:rPr>
              <w:t xml:space="preserve">的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40%；100-1000</w:t>
            </w:r>
            <w:r>
              <w:rPr>
                <w:rFonts w:ascii="Times New Roman" w:hAnsi="Times New Roman" w:eastAsia="仿宋_GB2312" w:cs="Times New Roman"/>
                <w:color w:val="000000"/>
                <w:spacing w:val="-26"/>
                <w:sz w:val="24"/>
              </w:rPr>
              <w:t xml:space="preserve"> 万元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（含</w:t>
            </w:r>
            <w:r>
              <w:rPr>
                <w:rFonts w:ascii="Times New Roman" w:hAnsi="Times New Roman" w:eastAsia="仿宋_GB2312" w:cs="Times New Roman"/>
                <w:color w:val="000000"/>
                <w:spacing w:val="-15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pacing w:val="-33"/>
                <w:sz w:val="24"/>
              </w:rPr>
              <w:t xml:space="preserve">的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50%；1000</w:t>
            </w:r>
            <w:r>
              <w:rPr>
                <w:rFonts w:ascii="Times New Roman" w:hAnsi="Times New Roman" w:eastAsia="仿宋_GB2312" w:cs="Times New Roman"/>
                <w:color w:val="000000"/>
                <w:spacing w:val="-22"/>
                <w:sz w:val="24"/>
              </w:rPr>
              <w:t xml:space="preserve"> 万元以上的 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sz w:val="24"/>
              </w:rPr>
              <w:t>60%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sz w:val="24"/>
              </w:rPr>
              <w:t xml:space="preserve">；世界医药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200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 xml:space="preserve"> 强、国内医药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 w:eastAsia="仿宋_GB2312" w:cs="Times New Roman"/>
                <w:color w:val="000000"/>
                <w:spacing w:val="-20"/>
                <w:sz w:val="24"/>
              </w:rPr>
              <w:t xml:space="preserve"> 强，细分领域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sz w:val="24"/>
              </w:rPr>
              <w:t xml:space="preserve"> 强的相关企</w:t>
            </w:r>
            <w:r>
              <w:rPr>
                <w:rFonts w:ascii="Times New Roman" w:hAnsi="Times New Roman" w:eastAsia="仿宋_GB2312" w:cs="Times New Roman"/>
                <w:color w:val="000000"/>
                <w:spacing w:val="-38"/>
                <w:sz w:val="24"/>
              </w:rPr>
              <w:t xml:space="preserve">业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70%</w:t>
            </w:r>
          </w:p>
        </w:tc>
        <w:tc>
          <w:tcPr>
            <w:tcW w:w="4376" w:type="dxa"/>
          </w:tcPr>
          <w:p>
            <w:pPr>
              <w:pStyle w:val="5"/>
              <w:spacing w:before="4" w:line="244" w:lineRule="auto"/>
              <w:ind w:right="91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企业所得税和增值税：营业执照签发日起3 年 90%，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/>
              </w:rPr>
              <w:t>其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后 2 年 50%</w:t>
            </w:r>
          </w:p>
          <w:p>
            <w:pPr>
              <w:pStyle w:val="5"/>
              <w:spacing w:before="4" w:line="244" w:lineRule="auto"/>
              <w:ind w:right="91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pStyle w:val="5"/>
              <w:spacing w:before="4" w:line="244" w:lineRule="auto"/>
              <w:ind w:right="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个人所得税：同生产型。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lang w:val="en-US"/>
              </w:rPr>
              <w:t>其中，纯科技研发类企业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2人100%+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  <w:lang w:val="en-US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pacing w:val="-4"/>
                <w:sz w:val="24"/>
              </w:rPr>
              <w:t>人50%</w:t>
            </w:r>
          </w:p>
        </w:tc>
        <w:tc>
          <w:tcPr>
            <w:tcW w:w="5958" w:type="dxa"/>
          </w:tcPr>
          <w:p>
            <w:pPr>
              <w:pStyle w:val="5"/>
              <w:spacing w:before="4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药品销售企业：GSP</w:t>
            </w:r>
            <w:r>
              <w:rPr>
                <w:rFonts w:ascii="Times New Roman" w:hAnsi="Times New Roman" w:eastAsia="仿宋_GB2312" w:cs="Times New Roman"/>
                <w:color w:val="000000"/>
                <w:spacing w:val="-11"/>
                <w:sz w:val="24"/>
              </w:rPr>
              <w:t xml:space="preserve"> 签发日起年入库税收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100（含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-500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 xml:space="preserve"> 万元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（含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spacing w:val="-33"/>
                <w:sz w:val="24"/>
              </w:rPr>
              <w:t xml:space="preserve">的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60%；500-2000</w:t>
            </w:r>
            <w:r>
              <w:rPr>
                <w:rFonts w:ascii="Times New Roman" w:hAnsi="Times New Roman" w:eastAsia="仿宋_GB2312" w:cs="Times New Roman"/>
                <w:color w:val="000000"/>
                <w:spacing w:val="-23"/>
                <w:sz w:val="24"/>
              </w:rPr>
              <w:t xml:space="preserve"> 万元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（含）</w:t>
            </w:r>
            <w:r>
              <w:rPr>
                <w:rFonts w:ascii="Times New Roman" w:hAnsi="Times New Roman" w:eastAsia="仿宋_GB2312" w:cs="Times New Roman"/>
                <w:color w:val="000000"/>
                <w:spacing w:val="-33"/>
                <w:sz w:val="24"/>
              </w:rPr>
              <w:t xml:space="preserve">的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70%；2000</w:t>
            </w:r>
            <w:r>
              <w:rPr>
                <w:rFonts w:ascii="Times New Roman" w:hAnsi="Times New Roman" w:eastAsia="仿宋_GB2312" w:cs="Times New Roman"/>
                <w:color w:val="000000"/>
                <w:spacing w:val="-26"/>
                <w:sz w:val="24"/>
              </w:rPr>
              <w:t xml:space="preserve"> 万元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 xml:space="preserve">以上的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80%</w:t>
            </w:r>
          </w:p>
          <w:p>
            <w:pPr>
              <w:pStyle w:val="5"/>
              <w:spacing w:line="242" w:lineRule="auto"/>
              <w:ind w:right="99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其他企业：营业执照签发日起年入库税收 100 万元（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/>
              </w:rPr>
              <w:t>含）以下</w:t>
            </w:r>
            <w:r>
              <w:rPr>
                <w:rFonts w:ascii="Times New Roman" w:hAnsi="Times New Roman" w:eastAsia="仿宋_GB2312" w:cs="Times New Roman"/>
                <w:color w:val="000000"/>
                <w:spacing w:val="-33"/>
                <w:sz w:val="24"/>
              </w:rPr>
              <w:t xml:space="preserve">的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60%；100-1000</w:t>
            </w:r>
            <w:r>
              <w:rPr>
                <w:rFonts w:ascii="Times New Roman" w:hAnsi="Times New Roman" w:eastAsia="仿宋_GB2312" w:cs="Times New Roman"/>
                <w:color w:val="000000"/>
                <w:spacing w:val="-23"/>
                <w:sz w:val="24"/>
              </w:rPr>
              <w:t xml:space="preserve"> 万元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（含）</w:t>
            </w:r>
            <w:r>
              <w:rPr>
                <w:rFonts w:ascii="Times New Roman" w:hAnsi="Times New Roman" w:eastAsia="仿宋_GB2312" w:cs="Times New Roman"/>
                <w:color w:val="000000"/>
                <w:spacing w:val="-33"/>
                <w:sz w:val="24"/>
              </w:rPr>
              <w:t xml:space="preserve">的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70%；1000</w:t>
            </w:r>
            <w:r>
              <w:rPr>
                <w:rFonts w:ascii="Times New Roman" w:hAnsi="Times New Roman" w:eastAsia="仿宋_GB2312" w:cs="Times New Roman"/>
                <w:color w:val="000000"/>
                <w:spacing w:val="-26"/>
                <w:sz w:val="24"/>
              </w:rPr>
              <w:t xml:space="preserve"> 万元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以上的 80%</w:t>
            </w:r>
          </w:p>
          <w:p>
            <w:pPr>
              <w:pStyle w:val="5"/>
              <w:spacing w:before="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纳入销售平台的按平台政策执行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972" w:type="dxa"/>
          </w:tcPr>
          <w:p>
            <w:pPr>
              <w:pStyle w:val="5"/>
              <w:spacing w:before="4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企业奖励</w:t>
            </w:r>
          </w:p>
          <w:p>
            <w:pPr>
              <w:pStyle w:val="5"/>
              <w:spacing w:before="4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（可与品种奖励叠加）</w:t>
            </w:r>
          </w:p>
        </w:tc>
        <w:tc>
          <w:tcPr>
            <w:tcW w:w="7675" w:type="dxa"/>
          </w:tcPr>
          <w:p>
            <w:pPr>
              <w:pStyle w:val="5"/>
              <w:spacing w:before="4" w:line="244" w:lineRule="auto"/>
              <w:ind w:right="9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中药配方颗粒头部企业：取得生产许可证并落地投产</w:t>
            </w:r>
            <w:r>
              <w:rPr>
                <w:rFonts w:hint="eastAsia" w:ascii="Times New Roman" w:hAnsi="Times New Roman" w:cs="Times New Roman"/>
                <w:spacing w:val="-2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spacing w:val="-2"/>
                <w:sz w:val="24"/>
                <w:lang w:val="en-US" w:eastAsia="zh-CN"/>
              </w:rPr>
              <w:t>结算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的</w:t>
            </w:r>
            <w:r>
              <w:rPr>
                <w:rFonts w:hint="eastAsia" w:ascii="Times New Roman" w:hAnsi="Times New Roman" w:cs="Times New Roman"/>
                <w:spacing w:val="-2"/>
                <w:sz w:val="24"/>
                <w:lang w:val="en-US" w:eastAsia="zh-CN"/>
              </w:rPr>
              <w:t>最高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奖励500万元</w:t>
            </w:r>
          </w:p>
          <w:p>
            <w:pPr>
              <w:pStyle w:val="5"/>
              <w:spacing w:before="4" w:line="244" w:lineRule="auto"/>
              <w:ind w:right="9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hint="eastAsia" w:ascii="Times New Roman" w:hAnsi="Times New Roman" w:cs="Times New Roman"/>
                <w:spacing w:val="-2"/>
                <w:sz w:val="24"/>
                <w:lang w:val="en-US" w:eastAsia="zh-CN"/>
              </w:rPr>
              <w:t>国产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替代生物医药支持企业：全产业链支持落地投产的</w:t>
            </w:r>
            <w:r>
              <w:rPr>
                <w:rFonts w:hint="eastAsia" w:ascii="Times New Roman" w:hAnsi="Times New Roman" w:cs="Times New Roman"/>
                <w:spacing w:val="-2"/>
                <w:sz w:val="24"/>
                <w:lang w:val="en-US" w:eastAsia="zh-CN"/>
              </w:rPr>
              <w:t>最高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奖励500万元</w:t>
            </w:r>
          </w:p>
          <w:p>
            <w:pPr>
              <w:pStyle w:val="5"/>
              <w:spacing w:before="4" w:line="244" w:lineRule="auto"/>
              <w:ind w:right="99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放射性药物生产企业：获得甲类辐安证的</w:t>
            </w:r>
            <w:r>
              <w:rPr>
                <w:rFonts w:hint="eastAsia" w:ascii="Times New Roman" w:hAnsi="Times New Roman" w:cs="Times New Roman"/>
                <w:spacing w:val="-2"/>
                <w:sz w:val="24"/>
                <w:lang w:val="en-US" w:eastAsia="zh-CN"/>
              </w:rPr>
              <w:t>最高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奖励500万元（乙类100万）</w:t>
            </w:r>
          </w:p>
        </w:tc>
        <w:tc>
          <w:tcPr>
            <w:tcW w:w="4376" w:type="dxa"/>
          </w:tcPr>
          <w:p>
            <w:pPr>
              <w:pStyle w:val="5"/>
              <w:spacing w:before="4"/>
              <w:rPr>
                <w:rFonts w:ascii="Times New Roman" w:hAnsi="Times New Roman" w:eastAsia="仿宋_GB2312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9"/>
                <w:sz w:val="24"/>
              </w:rPr>
              <w:t xml:space="preserve">营业收入达到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1000</w:t>
            </w:r>
            <w:r>
              <w:rPr>
                <w:rFonts w:ascii="Times New Roman" w:hAnsi="Times New Roman" w:eastAsia="仿宋_GB2312" w:cs="Times New Roman"/>
                <w:color w:val="000000"/>
                <w:spacing w:val="-17"/>
                <w:sz w:val="24"/>
              </w:rPr>
              <w:t xml:space="preserve"> 万元的，奖励企业</w:t>
            </w:r>
            <w:r>
              <w:rPr>
                <w:rFonts w:ascii="Times New Roman" w:hAnsi="Times New Roman" w:eastAsia="仿宋_GB2312" w:cs="Times New Roman"/>
                <w:color w:val="000000"/>
                <w:spacing w:val="-17"/>
                <w:sz w:val="24"/>
                <w:lang w:val="en-US"/>
              </w:rPr>
              <w:t>最高</w:t>
            </w:r>
          </w:p>
          <w:p>
            <w:pPr>
              <w:pStyle w:val="5"/>
              <w:spacing w:before="4" w:line="244" w:lineRule="auto"/>
              <w:ind w:right="91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 万元（同位素医疗和再生医学类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最高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100万元）</w:t>
            </w:r>
          </w:p>
          <w:p>
            <w:pPr>
              <w:pStyle w:val="5"/>
              <w:spacing w:before="4" w:line="244" w:lineRule="auto"/>
              <w:ind w:right="9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4"/>
              </w:rPr>
              <w:t>公共服务平台企业：投入运营的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4"/>
                <w:lang w:val="en-US"/>
              </w:rPr>
              <w:t>最高</w:t>
            </w:r>
            <w:r>
              <w:rPr>
                <w:rFonts w:ascii="Times New Roman" w:hAnsi="Times New Roman" w:eastAsia="仿宋_GB2312" w:cs="Times New Roman"/>
                <w:color w:val="000000"/>
                <w:spacing w:val="-2"/>
                <w:sz w:val="24"/>
              </w:rPr>
              <w:t>奖励500万元</w:t>
            </w:r>
          </w:p>
        </w:tc>
        <w:tc>
          <w:tcPr>
            <w:tcW w:w="5958" w:type="dxa"/>
          </w:tcPr>
          <w:p>
            <w:pPr>
              <w:pStyle w:val="5"/>
              <w:spacing w:before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972" w:type="dxa"/>
          </w:tcPr>
          <w:p>
            <w:pPr>
              <w:pStyle w:val="5"/>
              <w:spacing w:before="4"/>
              <w:ind w:left="11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品种奖励</w:t>
            </w:r>
          </w:p>
          <w:p>
            <w:pPr>
              <w:pStyle w:val="5"/>
              <w:spacing w:line="244" w:lineRule="auto"/>
              <w:ind w:left="110" w:right="10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 一次性针对单品种奖励，医疗器械同一产品不同零部件不重复奖励）</w:t>
            </w:r>
          </w:p>
        </w:tc>
        <w:tc>
          <w:tcPr>
            <w:tcW w:w="7675" w:type="dxa"/>
          </w:tcPr>
          <w:p>
            <w:pPr>
              <w:pStyle w:val="5"/>
              <w:spacing w:before="4"/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  <w:t>特殊配方医学食品：获得注册证并落地投产、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  <w:lang w:val="en-US"/>
              </w:rPr>
              <w:t>结算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  <w:t>的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  <w:lang w:val="en-US"/>
              </w:rPr>
              <w:t>最高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  <w:t>奖励500万元</w:t>
            </w:r>
          </w:p>
          <w:p>
            <w:pPr>
              <w:pStyle w:val="5"/>
              <w:spacing w:before="4"/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  <w:t>药品独家品种：获得注册证并落地投产、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  <w:lang w:val="en-US"/>
              </w:rPr>
              <w:t>结算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  <w:t>的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  <w:lang w:val="en-US"/>
              </w:rPr>
              <w:t>最高</w:t>
            </w: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  <w:t>奖励100万元（可与其他项叠加）</w:t>
            </w:r>
          </w:p>
          <w:p>
            <w:pPr>
              <w:pStyle w:val="5"/>
              <w:spacing w:before="4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5"/>
                <w:sz w:val="24"/>
              </w:rPr>
              <w:t>化学药年销售达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spacing w:val="-15"/>
                <w:sz w:val="24"/>
              </w:rPr>
              <w:t>亿元（其他药5000万/创新药2000万）的</w:t>
            </w:r>
            <w:r>
              <w:rPr>
                <w:rFonts w:ascii="Times New Roman" w:hAnsi="Times New Roman" w:eastAsia="仿宋_GB2312" w:cs="Times New Roman"/>
                <w:color w:val="000000"/>
                <w:spacing w:val="-15"/>
                <w:sz w:val="24"/>
                <w:lang w:val="en-US"/>
              </w:rPr>
              <w:t>最高</w:t>
            </w:r>
            <w:r>
              <w:rPr>
                <w:rFonts w:ascii="Times New Roman" w:hAnsi="Times New Roman" w:eastAsia="仿宋_GB2312" w:cs="Times New Roman"/>
                <w:color w:val="000000"/>
                <w:spacing w:val="-15"/>
                <w:sz w:val="24"/>
              </w:rPr>
              <w:t>奖励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</w:rPr>
              <w:t>万元</w:t>
            </w:r>
          </w:p>
          <w:p>
            <w:pPr>
              <w:pStyle w:val="5"/>
              <w:spacing w:before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二类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以上器械等注册制的品种：累计销售额达到 300 万元（IVD类和备案制保健食品达500万）的，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/>
              </w:rPr>
              <w:t>最高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奖励 20 万元</w:t>
            </w:r>
          </w:p>
        </w:tc>
        <w:tc>
          <w:tcPr>
            <w:tcW w:w="4376" w:type="dxa"/>
          </w:tcPr>
          <w:p>
            <w:pPr>
              <w:pStyle w:val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CDMO类开展临床试验服务的：按合同金额10%给予奖励，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lang w:val="en-US"/>
              </w:rPr>
              <w:t>最高不超过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500万元</w:t>
            </w:r>
          </w:p>
        </w:tc>
        <w:tc>
          <w:tcPr>
            <w:tcW w:w="5958" w:type="dxa"/>
          </w:tcPr>
          <w:p>
            <w:pPr>
              <w:pStyle w:val="5"/>
              <w:spacing w:before="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N/A</w:t>
            </w:r>
          </w:p>
        </w:tc>
      </w:tr>
    </w:tbl>
    <w:p>
      <w:pPr>
        <w:pStyle w:val="2"/>
        <w:spacing w:before="134"/>
        <w:rPr>
          <w:rFonts w:ascii="Times New Roman" w:hAnsi="Times New Roman"/>
          <w:sz w:val="33"/>
          <w:lang w:eastAsia="zh-CN"/>
        </w:rPr>
      </w:pPr>
      <w:r>
        <w:rPr>
          <w:rFonts w:ascii="Times New Roman" w:hAnsi="Times New Roman"/>
          <w:lang w:eastAsia="zh-CN"/>
        </w:rPr>
        <w:t>注：1.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签发之日实施起</w:t>
      </w:r>
      <w:r>
        <w:rPr>
          <w:rFonts w:ascii="Times New Roman" w:hAnsi="Times New Roman"/>
          <w:lang w:eastAsia="zh-CN"/>
        </w:rPr>
        <w:t>至 2022 年 12 月 31 日，以协议为准，协议有效期内省市扶持政策可重复享受，区级同类扶持政策不重复享受，按就高原则执行</w:t>
      </w:r>
      <w:r>
        <w:rPr>
          <w:rFonts w:hint="eastAsia" w:ascii="Times New Roman" w:hAnsi="Times New Roman"/>
          <w:lang w:eastAsia="zh-CN"/>
        </w:rPr>
        <w:t>，无协议不享受；</w:t>
      </w:r>
    </w:p>
    <w:p>
      <w:pPr>
        <w:pStyle w:val="2"/>
        <w:spacing w:before="1"/>
        <w:ind w:left="620"/>
      </w:pPr>
      <w:r>
        <w:rPr>
          <w:rFonts w:ascii="Times New Roman" w:hAnsi="Times New Roman"/>
          <w:lang w:eastAsia="zh-CN"/>
        </w:rPr>
        <w:t>2.兑付节点：租金即签即交即补，</w:t>
      </w:r>
      <w:r>
        <w:rPr>
          <w:rFonts w:hint="eastAsia" w:ascii="Times New Roman" w:hAnsi="Times New Roman"/>
          <w:lang w:val="en-US" w:eastAsia="zh-CN"/>
        </w:rPr>
        <w:t>扶持资金</w:t>
      </w:r>
      <w:r>
        <w:rPr>
          <w:rFonts w:ascii="Times New Roman" w:hAnsi="Times New Roman"/>
          <w:lang w:eastAsia="zh-CN"/>
        </w:rPr>
        <w:t>下一会计年度开始 30 日内兑付（销售型平台和企业以实际诉求另议），其他奖励按财政和企业诉求另议（原则上达标日 6 个月内兑付）。</w:t>
      </w: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NzdjYTNkNmVkZGNhZWI5MWVlYTZkYWU0ODExNjUifQ=="/>
  </w:docVars>
  <w:rsids>
    <w:rsidRoot w:val="04054BB0"/>
    <w:rsid w:val="0405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240"/>
    </w:pPr>
    <w:rPr>
      <w:kern w:val="0"/>
      <w:sz w:val="24"/>
      <w:lang w:val="en-GB" w:eastAsia="en-US"/>
    </w:rPr>
  </w:style>
  <w:style w:type="paragraph" w:customStyle="1" w:styleId="5">
    <w:name w:val="Table Paragraph"/>
    <w:basedOn w:val="1"/>
    <w:qFormat/>
    <w:uiPriority w:val="1"/>
    <w:pPr>
      <w:spacing w:before="5"/>
      <w:ind w:left="109"/>
    </w:pPr>
    <w:rPr>
      <w:rFonts w:ascii="仿宋" w:hAnsi="仿宋" w:eastAsia="仿宋" w:cs="仿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2022-08-05T13:33:00Z</dcterms:created>
  <dc:creator>杨茜</dc:creator>
  <cp:lastModifiedBy>杨茜</cp:lastModifiedBy>
  <dcterms:modified xsi:type="dcterms:W3CDTF">2022-08-05T13:34:51Z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1AA98350F3D841FA8644B07E4AEDC54B</vt:lpwstr>
  </property>
</Properties>
</file>